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after="0" w:line="240" w:lineRule="auto"/>
        <w:ind w:left="5529"/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 w:left="5529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 обласної Програми розвитку малого і середнього підприємництва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на 2021-2027 роки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(в редакції розпорядження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начальника Чернігівської обласної військової адміністрації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_______________ року № _____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ПОРЯДОК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0" w:name="_Hlk133489220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надання </w:t>
      </w:r>
      <w:bookmarkStart w:id="1" w:name="_Hlk205543027"/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фінансової підтримки суб’єктам малого та середнього підприємництва на безповоротній основі для часткового 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 </w:t>
      </w:r>
      <w:bookmarkEnd w:id="0"/>
      <w:r/>
      <w:bookmarkEnd w:id="1"/>
      <w:r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Загальні положення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Порядок  надання фінансової підтримки суб’єктам малого та середнього підприємництва на безповоротній основі для часткового відшкодування витрат на  визначення  шкоди  та  обсягу  збитків,  завданих  внаслідок  знищення  та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ошкодження їх майна у  зв’язку із збройною агресією російської  федерації, а також  упущеної  вигоди  від  неможливості  чи  перешкод  у  провадженні господарської  діяльності  (далі  –  Порядок)  визначає  механізм  використання коштів  обласного  бюджету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Чернігівської області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 передбачених  для  надання  фінансової  підтримки суб’єктам  малого  та  середнього  підприємництва  на  безповоротній  основі  для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часткового  відшкодування  витрат  на  визначення  шкоди  та  обсягу  збитків, завданих внаслідок знищення та пошкодження їх майна у зв’язку із збройною агресією  російської  федерації,  а  також  упуще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ної  вигоди  від  неможливості  чи перешкод  у  провадженні  господарської  діяльності  (далі  –  Часткове відшкодування),  в  рамках  реалізації  заходів  обласної  Програми  розвитку малого і середнього підприємництва на 2021-2027 роки (далі – Програма).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 Порядок розроблено з врахуванням Порядку визначення шкоди та збитків, завданих Україні внаслідок збройної агресії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осійської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едерації, затвердженого постан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овою Кабінету Міністрів України від 20 березня 2022 року № 326, та Методики визначення шкоди та обсягу збитків, завданих підприємствам, установам та організаціям усіх форм власності внаслідок знищення та пошкодження їх майна у зв’язку із збройною агресією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осійської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едерації, а також упущеної вигоди від неможливості чи перешкод у провадженні господарської діяльності, затверджен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наказом Міністерства економіки України та Фонду державного майна України від 18 жовтня 2022 року № 3904/1223, зареєстрован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 Міністерстві юстиції України 02 грудня 2022 року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№ 1522/38858 (далі – Методика).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 Метою Часткового відшкодування є надання підтримки суб’єктам малого та середнього підприємництва Чернігівської області,  постраждалим внаслідок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збройної агресії російської федерації (далі – Суб’єкт) </w:t>
      </w:r>
      <w:bookmarkStart w:id="2" w:name="_Hlk133495291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здійснення оцінки шкоди та збитків, зокрема:</w:t>
      </w:r>
      <w:bookmarkStart w:id="3" w:name="n50"/>
      <w:r/>
      <w:bookmarkEnd w:id="3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розміру реальних збитків;</w:t>
      </w:r>
      <w:bookmarkStart w:id="4" w:name="n51"/>
      <w:r/>
      <w:bookmarkEnd w:id="4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упущеної вигоди; </w:t>
      </w:r>
      <w:bookmarkStart w:id="5" w:name="n52"/>
      <w:r/>
      <w:bookmarkEnd w:id="5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потреб у витратах, необхідних для відновлення майна та майнових прав </w:t>
      </w:r>
      <w:bookmarkEnd w:id="2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(далі - Збитки).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Частковому  відшкодуванню  підлягають  фактичні  витрати  Суб’єкта 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оплати  незалежної  оцінки  Збитків  (далі  –  Фактичні  витрати),  проведеної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суб’єктом  господарювання,  визнаним  суб’єктом  оціночної діяльності  згідно  із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Законом  України «Про  оцінку  майна,  майнових  прав  та  професійну  оціночну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діяльність  в  Україні»  (далі  –  Суб’єкт  оціночної  діяльності),  або  судової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експертизи (експертного дослідження), здійсненої  з дотриманням вимог Закону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України «Про оцінку майна, майнових прав та професійну оціночну діяльність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  Україні»,  Закону  України  «Про  судову  експертизу»,  відповідного процесуального законодавства судовим експертом (далі – Експерт).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5. Часткове відшкодування надається Суб’єкту як фінансова підтримка на безповоротній основі одноразово у розмірі 50 % від Фактичних витрат, але не більше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0,0 тис. грн.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6. Головним розпорядником коштів обласного бюджету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Чернігівської області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видатками Програми є Департамент економічного розвитку Чернігівської обласної державної адміністрації  (далі – Головний розпорядник коштів).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7. Кількість отримувачів Часткового відшкодування обмежується обсягом фінансування кошторисних призначень Програми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відповідн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ід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 надання Часткового відшкодування.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8. Часткове відшкодування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дійснюється через Державну організацію «Регіональний фонд підтримки підприємництва по Чернігівській області» (далі – Фонд) в межах кошторисних призначень, затверджених на відповідний бюджетний рік, передбачених для реалізації відповідного заходу Програми.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Умови надання або відмови у наданні Часткового відшкодування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9. На Часткове відшкодування має право Суб’єкт, який: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зареєстрован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(взят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на облік)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контролюючих органах Чернігівської області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місцезнаходженням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є резидент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України та зар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єстрован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у пода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ткових органах Чернігівської області;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2) не визнаний банкрутом або стосовно якого не порушено справу про банкрутство, не перебуває у процесі припинення;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3) зазнав Збитків;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4) здійснював господарську діяльність не менше 12 місяців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подання заяви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5) </w:t>
      </w:r>
      <w:r>
        <w:rPr>
          <w:rFonts w:ascii="Times New Roman" w:hAnsi="Times New Roman" w:cs="Times New Roman"/>
          <w:sz w:val="28"/>
          <w:szCs w:val="28"/>
        </w:rPr>
        <w:t xml:space="preserve">не має заборгованості зі сплати податків, зборів та інших обов’язкових платежів на дату подання заяви;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6) не має серед власників (засновників, учасників) фізичних осіб з громадянством російської федерації та/або республіки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білорусь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 юридичних осіб, зареєстрованих в цих країнах, а також серед кінцевих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бенефіціарних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власників - фізичних осіб з громадянством російської федерації та/або республіки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білорусь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10. Подати заяву для отримання Часткового відшкодування може Суб’єкт, що відповідає вимогам п. 9 цього Порядку 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платив 100%</w:t>
      </w:r>
      <w:r>
        <w:rPr>
          <w:rFonts w:ascii="Calibri" w:hAnsi="Calibri" w:eastAsia="Calibri" w:cs="Times New Roman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вартості виконаної незалежної оцінки Збитків.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11. Підставою для відмови у наданні Часткового відшкодування є невідповідність умовам надання Часткового відшкодування, визначеним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п. 9 цього Порядку, та/або відсутність бюджетних призначень для реалізації відповідного заходу Програми на дату звернення Суб’єкта.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Процедура подання та розгляду пакету документів для отримання Часткового відшкодування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12. Часткове відшкодування здійснюється на підставі рішення комісії з питань надання фінансової підтримки суб’єктам малого та середнього підприємництва на безповоротній основі для часткового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(далі – Комісія).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13. Створення та затвердження складу Комісії здійснює Департамент економічного розвитку Чернігівської обласної державної адміністрації.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14. Голово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ю Комісії є заступник голови Чернігівської обласної державної адміністрації, згідно з розподілом обов’язків. Заступником голови Комісії є директор Департаменту економічного розвитку Чернігівської обласної державної адміністрації. До складу Комісії можуть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ходити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представники структурних підрозділів Чернігівсь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кої обласної державної адміністрації, територіальних органів центральних органів виконавчої влади, Чернігівської обласної ради, Фонду, Агенції регіонального розвитку Чернігівської області та інших суб’єктів. Секретарем Комісії є генеральний директор Фонду.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15. Формою роботи Комісії є засідання, що проводяться за ініціативи голови Комісії.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16. Засідання Комісії веде голова Комісії, а за його відсутності- заступник голови Комісії. У разі відсутності голови та заступника засідання веде головуючий, що обирається з числа присутніх членів Комісії простою більшістю голосів.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17. Секретар Комісії приймає участь у її засіданнях без права голосу.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18.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Засідання Комісії може проводитись в режимі відеоконференції.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19. Засідання Комісії є правоможним за умови присутності на ньому більш як половини її членів.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20. Засідання Комісії проводяться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 міру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надходження від Суб’єктів заяв з доданими документами на отримання Часткового відшкодування. Голова Комісії визначає дату засідання. Підготовку матеріалів для розгляду на засіданні Комісії здійснює секретар Комісії.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21. Для отримання Часткового відшкодування Суб’єкт подає Фонду письмову заяву за формою згідно з додатком 1 (далі - Заява). До заяви додаються: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/>
      <w:bookmarkStart w:id="6" w:name="_Hlk205543360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1) копія витягу з Єдиного державного реєстру юридичних осіб,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фізичних осіб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– підприємців та громадських формувань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(завiрен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пiдписом кер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2) копія договору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(завiрена пiдписом керівника)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укладеного між Суб’єктом та Суб’єктом оціночної діяльності або Експертом;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3) копія документ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що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підтвердж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ує оплату Фактичних витрат (банківська виписка, платіжна інструкція тощо)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4) копія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виконаних робіт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пiдписом керівника)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проведених Суб’єктом оціночної діяльності/Експертом або інший документ, що засвідчує факт виконання таких робіт відповідно до Методики;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5) копія довідки про відсутність заборгованості з платежів, контроль за справлянням яких покладено на контролюючі органи, або витяг з інформаційної системи органів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Державної податкової служби України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щодо статусу розрахунків платника з бюджетом та цільовими фондами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 дату подання заяви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6) копія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форми державного статистичного спостереження № 3-борг (місячна) «Звіт про заборгованість з оплати праці»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станом на останню звітну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або довідка в довільній формі про відсутність заборгованості з виплати заробітної плати та нарахувань до неї станом на дату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подання заяви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7) копія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комісійного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(технічного)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обстеження об’єкта, пошкодженого внаслідок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військових дій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спричинених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збройно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агресі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єю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осійської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едерації, складеного згідно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вимог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постанови Кабінету Міністрів України від 19.04.2022 № 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 або інш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документ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що підтверджує факт знищення або пошкодження майна та причинно-наслідковий зв’язок, що цю шкоду спричинено внаслідок збройної агресії російської федерації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довідка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банку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реквізити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банківського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рахунку, на який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здійснюватиметься перерахування суми коштів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асткове відшкодування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bookmarkEnd w:id="6"/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22. </w:t>
      </w:r>
      <w:r>
        <w:rPr>
          <w:rFonts w:ascii="Times New Roman" w:hAnsi="Times New Roman" w:eastAsia="Times New Roman" w:cs="Times New Roman"/>
          <w:sz w:val="28"/>
          <w:szCs w:val="20"/>
          <w:lang w:eastAsia="ru-RU"/>
          <w14:ligatures w14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аява з доданими документами на отримання Часткового відшкодування реєструється Фондом.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23. У разі подання неповного пакету документів, визначених у п. 21 цього Порядку, Фонд повертає їх Суб’єкту без розгляду Комісією протягом п’яти робочих днів з дня отримання.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24. Комісія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не пізніше, ніж протягом п’ятнадцяти робочих днів з дня отримання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повного пакету документів розглядає Заяву та додані документи на предмет відповідності вимогам Порядку та приймає ріше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ння про надання або відмову у наданні Часткового відшкодування шляхом голосування простою більшістю від кількості присутніх на засіданні. У разі рівного розподілу голосів вирішальним є голос голови Комісії, за його відсутності – заступника голови Комісії,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 разі їх відсутності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головуючого.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25. 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Рішення Комісії оформлюється протоколом, який підписується головою Комісії, або у разі його відсутності - заступником, або у разі їх відсутності – головуючим та всіма членами Комісії, які брали участь у голосуванні (далі – Протокол).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26. У разі прийняття рішення про надання Часткового відшкодування в Протоколі повинна бути вказана інформація про найменування юридичної особи, фізичної особи-підприємця, розмір Часткового відшкодування, а також джерело коштів, за рахунок якого буде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здійснюватись</w:t>
      </w:r>
      <w:r>
        <w:rPr>
          <w:rFonts w:ascii="Times New Roman" w:hAnsi="Times New Roman" w:eastAsia="Calibri" w:cs="Times New Roma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Часткове відшкодування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27. У разі прийняття рішення про відмову у наданні Часткового відшкодування, у Протоколі повинна бути вказана підстава, визначена цим Порядком.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28. Секретар Комісії протягом п’яти робочих днів з дати прийняття рішення про надання або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відмову у наданні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Часткового відшкодування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надсилає Суб’єкту засвідчений належним чином витяг з Протоколу.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Процедура надання Часткового відшкодування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29. Засвідчені секретарем Комісії копії Протоколів надаються Головному розпоряднику коштів для підготовки заявки на фінансування Департаменту фінансів Чернігівської обласної державної адміністрації.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30. Головний розпорядник коштів готує заявки на фінансування і подає Департаменту фінансів Чернігівської обласної державної адміністрації разом із засвідченою секретарем Комісії копією Протоколу.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31. Після отримання фінансування Головний розпорядник коштів здійснює перерахування коштів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з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обласного бюджету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Чернігівської області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, виділених для Часткового відшкодування, на реєстраційний рахунок Фонду.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32. На підставі Протоколу Фонд готує Реєстр для здійснення Часткового відшкодування згідно з додатком 2 до цього Порядку та подає його до Головного управління Державної казначейської служби України у Чернігівській області разом із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засвідчен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ою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в установленому порядку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копією Протоколу та платіжними інструкціями.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33. Часткове відшкодування здійснюється Фондом шляхом перерахування суми коштів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з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обласного бюджету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Чернігівської області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в обсязі, визначеному рішенням Комісії, оформленим Протоколом, та відповідно до Реєстру, на рахунок Суб’єкта, банківські реквізити якого зазначені у доданій до заяви довідці. Перерахування коштів органами Державної казначейської служби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України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здійснюється з урахуванням особливого режиму розрахунково-касового обслуговуван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ня розпорядників (одержувачів) бюджетних коштів, передбаченого постановою Кабінету Міністрів України від 09 червня 2021 року № 590 «Про затвердження Порядку виконання повноважень Державною казначейською службою в особливому режимі в умовах воєнного стану».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34. Головний розпорядник коштів і Фонд звільняються від будь-якої відповідальності за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тривале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їх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перерахування згідно з Реєстром, якщо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це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викликан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о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відсутністю бюджетного фінансування (затримкою у бюджетному фінансуванні) та/або несплатою виділених коштів Головним управлінням Державної казначейської служби України у Чернігівській області.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35. Суб’єкт несе відповідальність за достовірність поданої ним інформації згідно з чинним законодавством України. У разі виявлення недостовірної інформації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кошти обласного бюджету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Чернігівській області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  <w:t xml:space="preserve"> в розмірі Часткового відшкодування підлягають поверненню Суб’єктом на добровільній основі або стягуються в судовому порядку. </w:t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Директор Департаменту економічного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розвитку обласної державної адміністрації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ab/>
        <w:t xml:space="preserve">                  Олександра ХОМИК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Calibri" w:hAnsi="Calibri" w:eastAsia="Calibri" w:cs="Times New Roman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Додаток 1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до Порядку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br/>
        <w:t xml:space="preserve">(пункт 21)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4860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3686"/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Голові комісії з питань надання фінансової підтримки суб’єктам малого та середнього підприємництва на безповоротній основі для часткового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  <w:t xml:space="preserve">(власне ім’я та прізвище)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</w:r>
    </w:p>
    <w:p>
      <w:pPr>
        <w:pBdr/>
        <w:spacing w:after="0" w:line="240" w:lineRule="auto"/>
        <w:ind w:left="3686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(повн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е найменування юридичної особи,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код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згідно з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ЄДРПОУ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; прізвище, ім’я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, по батькові фізичної особи підприємця, РНОКПП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(крім фізичних осіб, які через свої релігійні переконання відмовляю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ться від прийняття реєстраційного номера облікової картки платника податків, повідомили про це відповідному податковому органу та мають відмітку в паспорті громадянина України про право здійснювати платежі за серією та номером паспорта громадянина України)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Заява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16"/>
          <w:szCs w:val="16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Прошу надати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фінансов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підтримк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на безповоротній основі для часткового відшкодування витрат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здійснення оцінк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шкоди та збитків, завданих внаслідок збройної агресії російської федерації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зокрема: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  <w14:ligatures w14:val="none"/>
        </w:rPr>
      </w:pPr>
      <w:r/>
      <w:bookmarkStart w:id="7" w:name="_Hlk120892583"/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(вказати назву витрат: </w:t>
      </w:r>
      <w:bookmarkEnd w:id="7"/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  <w14:ligatures w14:val="none"/>
        </w:rPr>
        <w:t xml:space="preserve">розміру реальних збитків; упущеної вигоди; потреб у витратах, необхідних для відновлення майна та майнових прав)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before="6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та надаю згідно з переліком, визначеним п. 21 Порядку надання фінансової підтримки суб’єктам малого та середнього підприємництва на безповоротній основі для часткового відшкодуван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 документи: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1) копія витягу з Єдиного державного реєстру юридичних осіб,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фізичних осіб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– підприємців та громадських формувань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вника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2) копія договору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керівника), укладеного між Суб’єктом та Суб’єктом оціночної діяльності або Експертом;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3) копія документа, що підтверджує оплату Фактичних витрат (банківська виписка, платіжна інструкція тощо)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4) копія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виконаних робіт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керівника), проведених Суб’єктом оціночної діяльності/Експертом або інший документ, що засвідчує факт виконання таких робіт відповідно до Методики;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5) копія довідки про відсутність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заборгованості з платежів, контроль за справлянням яких покладено на контролюючі органи, або витяг з інформаційної системи органів Державної податкової служби України щодо статусу розрахунків платника з бюджетом та цільовими фондами на дату подання заяви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6) копія форми державного статистичного спостереження № 3-борг (місячна) «Звіт про заборгованість з оплати праці» станом на останню звітну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дату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 або довідка в довільній формі про відсутність заборгованості з виплати заробітної плати та нарахувань до неї станом на дату подання заяви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7) копія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акта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комісійного (технічного) обстеження об’єкта, пошкодженог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 внаслідок військових дій, спричинених збройною агресією Російської Федерації, складеного згідно з вимогами постанови Кабінету Міністрів України від 19.04.2022 № 473 «Про затвердження Порядку виконання невідкладних робіт щодо ліквідації наслідків збройної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агресії Російської Федерації, пов’язаних із пошкодженням будівель та споруд» або іншого документа, що підтверджує факт знищення або пошкодження майна та причинно-наслідковий зв’язок, що цю шкоду спричинено внаслідок збройної агресії російської федерації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завiреного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пiдписом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керівника);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2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8) довідка банку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реквізити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банківського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рахунку, на який здійснюватиметься перерахування суми коштів на Часткове відшкодування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pBdr/>
        <w:shd w:val="clear" w:color="auto" w:fill="ffffff"/>
        <w:tabs>
          <w:tab w:val="left" w:leader="none" w:pos="710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6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6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Подаючи цю заяву та документи до неї, засвідчую, що подані документи є достовірними.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pBdr/>
        <w:spacing w:after="6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Надаю згоду на обробку персональних даних з метою забезпечення виконання вимог Порядку надання фінансової підтримки суб’єктам малого та середнього підприємництва на безповоротній основі для часткового 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  <w:t xml:space="preserve">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Додатки: на 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арк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. у ___ прим.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     __________                                        _________                          __________   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  <w:t xml:space="preserve">  (Посада керівника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  <w:t xml:space="preserve">/ФОП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  <w:t xml:space="preserve">)                                                                       (Підпис)                                                                  (ПІБ)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  М.П.</w:t>
      </w:r>
      <w:r>
        <w:rPr>
          <w:rFonts w:ascii="Times New Roman" w:hAnsi="Times New Roman" w:eastAsia="Times New Roman" w:cs="Times New Roman"/>
          <w:lang w:eastAsia="ru-RU"/>
          <w14:ligatures w14:val="none"/>
        </w:rPr>
      </w:r>
    </w:p>
    <w:p>
      <w:pPr>
        <w:pBdr/>
        <w:spacing w:after="0" w:before="12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  <w14:ligatures w14:val="none"/>
        </w:rPr>
        <w:t xml:space="preserve">«    »                        20     р.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  <w:t xml:space="preserve">            (число, місяць, рік)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Додаток 2 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 w:left="6804"/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t xml:space="preserve">до Порядку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  <w:br/>
        <w:t xml:space="preserve">(пункт 32)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  <w:lang w:eastAsia="ru-RU"/>
          <w14:ligatures w14:val="none"/>
        </w:rPr>
        <w:t xml:space="preserve">РЕЄСТР №_____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ap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aps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надання фінансової підтримки суб’єктам малого та середнього підприємництва на безповоротній основі для часткового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відшкодування витрат на визначення шкоди та обсягу збитків, завданих внаслідок знищення та пошкодження їх майна у зв’язку із збройною агресією російської федерації, а також упущеної вигоди від неможливості чи перешкод у провадженні господарської діяльності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before="12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від________________ 20___ р.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tbl>
      <w:tblPr>
        <w:tblW w:w="9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68"/>
        <w:gridCol w:w="1908"/>
        <w:gridCol w:w="2870"/>
        <w:gridCol w:w="2502"/>
        <w:gridCol w:w="1970"/>
      </w:tblGrid>
      <w:tr>
        <w:trPr/>
        <w:tc>
          <w:tcPr>
            <w:tcBorders/>
            <w:tcW w:w="5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№ з/п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0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Код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згідно 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ЄДРПОУ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8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Повна назва підприємства/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br/>
              <w:t xml:space="preserve">ФОП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Банківські реквізити (номер рахунку, установа банку, її код МФО)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Сума, грн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/>
        <w:tc>
          <w:tcPr>
            <w:tcBorders/>
            <w:tcW w:w="5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8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/>
        <w:tc>
          <w:tcPr>
            <w:tcBorders/>
            <w:tcW w:w="5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8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/>
        <w:tc>
          <w:tcPr>
            <w:tcBorders/>
            <w:tcW w:w="56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8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25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/>
        <w:tc>
          <w:tcPr>
            <w:gridSpan w:val="4"/>
            <w:tcBorders/>
            <w:tcW w:w="784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Загальна сума по реєстру: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  <w:tc>
          <w:tcPr>
            <w:tcBorders/>
            <w:tcW w:w="19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  <w14:ligatures w14:val="none"/>
        </w:rPr>
      </w:r>
    </w:p>
    <w:p>
      <w:pPr>
        <w:pBdr/>
        <w:spacing w:after="0" w:before="12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Підстава: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ішення Комісії, оформлен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протоколом від _________  № 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tbl>
      <w:tblPr>
        <w:tblW w:w="9640" w:type="dxa"/>
        <w:tblInd w:w="-34" w:type="dxa"/>
        <w:tblBorders/>
        <w:tblLook w:val="01E0" w:firstRow="1" w:lastRow="1" w:firstColumn="1" w:lastColumn="1" w:noHBand="0" w:noVBand="0"/>
      </w:tblPr>
      <w:tblGrid>
        <w:gridCol w:w="9640"/>
      </w:tblGrid>
      <w:tr>
        <w:trPr/>
        <w:tc>
          <w:tcPr>
            <w:tcBorders/>
            <w:tcW w:w="96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Генеральний директор Державної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br/>
              <w:t xml:space="preserve">організації «Регіональний фонд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підтримки підприємництва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по Чернігівській області»               ______________      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 w:left="368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ligatures w14:val="none"/>
              </w:rPr>
              <w:t xml:space="preserve">(підпис)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ligatures w14:val="none"/>
              </w:rPr>
              <w:t xml:space="preserve">(власне ім’я та прізвище)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uk-UA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  <w:t xml:space="preserve"> М.П.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/>
        <w:tc>
          <w:tcPr>
            <w:tcBorders/>
            <w:tcW w:w="964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  <w14:ligatures w14:val="none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Головний бухгалтер Державної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організації «Регіональний фонд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підтримки підприємництва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br/>
        <w:t xml:space="preserve">Чернігівській області»                     ______________      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  <w14:ligatures w14:val="none"/>
        </w:rPr>
      </w:r>
    </w:p>
    <w:p>
      <w:pPr>
        <w:pBdr/>
        <w:spacing w:after="0" w:line="240" w:lineRule="auto"/>
        <w:ind w:left="3686"/>
        <w:jc w:val="center"/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  <w:t xml:space="preserve">(підпис)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  <w:t xml:space="preserve">(власне ім’я та прізвище)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  <w14:ligatures w14:val="none"/>
        </w:rPr>
      </w:r>
    </w:p>
    <w:p>
      <w:pPr>
        <w:pBdr/>
        <w:spacing w:after="200" w:line="276" w:lineRule="auto"/>
        <w:ind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16"/>
          <w:szCs w:val="16"/>
          <w:highlight w:val="darkGray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16"/>
          <w:szCs w:val="16"/>
          <w:highlight w:val="darkGray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darkGray"/>
          <w:lang w:eastAsia="ru-RU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907" w:left="1418" w:header="709" w:footer="6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39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6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6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6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6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6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6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9"/>
    <w:link w:val="6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39"/>
    <w:link w:val="6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39"/>
    <w:link w:val="65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paragraph" w:styleId="630">
    <w:name w:val="Heading 1"/>
    <w:basedOn w:val="629"/>
    <w:next w:val="629"/>
    <w:link w:val="6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3" w:customStyle="1">
    <w:name w:val="Заголовок 2 Знак"/>
    <w:basedOn w:val="639"/>
    <w:link w:val="6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customStyle="1">
    <w:name w:val="Заголовок 3 Знак"/>
    <w:basedOn w:val="639"/>
    <w:link w:val="63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5" w:customStyle="1">
    <w:name w:val="Заголовок 4 Знак"/>
    <w:basedOn w:val="639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6" w:customStyle="1">
    <w:name w:val="Заголовок 5 Знак"/>
    <w:basedOn w:val="639"/>
    <w:link w:val="63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7" w:customStyle="1">
    <w:name w:val="Заголовок 6 Знак"/>
    <w:basedOn w:val="639"/>
    <w:link w:val="6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8" w:customStyle="1">
    <w:name w:val="Заголовок 7 Знак"/>
    <w:basedOn w:val="639"/>
    <w:link w:val="6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9" w:customStyle="1">
    <w:name w:val="Заголовок 8 Знак"/>
    <w:basedOn w:val="639"/>
    <w:link w:val="6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50" w:customStyle="1">
    <w:name w:val="Заголовок 9 Знак"/>
    <w:basedOn w:val="639"/>
    <w:link w:val="6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51">
    <w:name w:val="Title"/>
    <w:basedOn w:val="629"/>
    <w:next w:val="629"/>
    <w:link w:val="65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Назва Знак"/>
    <w:basedOn w:val="639"/>
    <w:link w:val="65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4" w:customStyle="1">
    <w:name w:val="Підзаголовок Знак"/>
    <w:basedOn w:val="639"/>
    <w:link w:val="65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5">
    <w:name w:val="Quote"/>
    <w:basedOn w:val="629"/>
    <w:next w:val="629"/>
    <w:link w:val="6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6" w:customStyle="1">
    <w:name w:val="Цитата Знак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7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58">
    <w:name w:val="Intense Emphasis"/>
    <w:basedOn w:val="6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60" w:customStyle="1">
    <w:name w:val="Насичена цитата Знак"/>
    <w:basedOn w:val="639"/>
    <w:link w:val="65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61">
    <w:name w:val="Intense Reference"/>
    <w:basedOn w:val="6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</dc:creator>
  <cp:keywords/>
  <dc:description/>
  <cp:lastModifiedBy>Anonymous</cp:lastModifiedBy>
  <cp:revision>35</cp:revision>
  <dcterms:created xsi:type="dcterms:W3CDTF">2025-08-14T07:50:00Z</dcterms:created>
  <dcterms:modified xsi:type="dcterms:W3CDTF">2025-08-20T12:54:03Z</dcterms:modified>
</cp:coreProperties>
</file>